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6282A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000000"/>
          <w:sz w:val="32"/>
          <w:szCs w:val="32"/>
          <w:lang w:eastAsia="it-IT"/>
        </w:rPr>
        <w:t>Informazioni sulle singole procedure in formato tabellare</w:t>
      </w:r>
      <w:r>
        <w:rPr>
          <w:rFonts w:eastAsia="Times New Roman" w:cs="Segoe UI" w:ascii="Segoe UI" w:hAnsi="Segoe UI"/>
          <w:color w:val="000000"/>
          <w:sz w:val="20"/>
          <w:szCs w:val="20"/>
          <w:lang w:eastAsia="it-IT"/>
        </w:rPr>
        <w:br/>
      </w: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it-IT"/>
        </w:rPr>
        <w:t>Anno 202</w:t>
      </w: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it-IT"/>
        </w:rPr>
        <w:t>4</w:t>
      </w:r>
    </w:p>
    <w:p>
      <w:pPr>
        <w:pStyle w:val="Normal"/>
        <w:shd w:val="clear" w:color="auto" w:fill="FFFFFF"/>
        <w:spacing w:lineRule="atLeast" w:line="224" w:before="0" w:after="0"/>
        <w:textAlignment w:val="baseline"/>
        <w:rPr>
          <w:rFonts w:ascii="Segoe UI" w:hAnsi="Segoe UI" w:eastAsia="Times New Roman" w:cs="Segoe UI"/>
          <w:color w:val="26282A"/>
          <w:sz w:val="21"/>
          <w:szCs w:val="21"/>
          <w:lang w:eastAsia="it-IT"/>
        </w:rPr>
      </w:pPr>
      <w:r>
        <w:rPr>
          <w:rFonts w:eastAsia="Times New Roman" w:cs="Segoe UI" w:ascii="Segoe UI" w:hAnsi="Segoe UI"/>
          <w:color w:val="26282A"/>
          <w:sz w:val="21"/>
          <w:szCs w:val="21"/>
          <w:lang w:eastAsia="it-IT"/>
        </w:rPr>
      </w:r>
    </w:p>
    <w:tbl>
      <w:tblPr>
        <w:tblW w:w="96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8"/>
        <w:gridCol w:w="1984"/>
        <w:gridCol w:w="1548"/>
        <w:gridCol w:w="1916"/>
        <w:gridCol w:w="1912"/>
      </w:tblGrid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b/>
                <w:bCs/>
                <w:color w:val="000000"/>
                <w:sz w:val="20"/>
                <w:szCs w:val="20"/>
                <w:lang w:eastAsia="it-IT"/>
              </w:rPr>
              <w:t>Consulente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b/>
                <w:bCs/>
                <w:color w:val="000000"/>
                <w:sz w:val="20"/>
                <w:szCs w:val="20"/>
                <w:lang w:eastAsia="it-IT"/>
              </w:rPr>
              <w:t>Oggetto della consulenza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b/>
                <w:bCs/>
                <w:color w:val="000000"/>
                <w:sz w:val="20"/>
                <w:szCs w:val="20"/>
                <w:lang w:eastAsia="it-IT"/>
              </w:rPr>
              <w:t>CIG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b/>
                <w:bCs/>
                <w:color w:val="000000"/>
                <w:sz w:val="20"/>
                <w:szCs w:val="20"/>
                <w:lang w:eastAsia="it-IT"/>
              </w:rPr>
              <w:t>Z15390204B</w:t>
            </w:r>
          </w:p>
        </w:tc>
        <w:tc>
          <w:tcPr>
            <w:tcW w:w="1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Avvocato Maggiore Cosimo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Consulenza Legale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 xml:space="preserve">2300 euro annui 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Scadenza 31.12.2024 </w:t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Commercialista dott.ssa Lodi Marcella</w:t>
              <w:br/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Consulenza Commercialista</w:t>
              <w:br/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Importi in contratto non specificati. 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 xml:space="preserve">Decorrenza fino a revoca dell'incarico </w:t>
            </w:r>
          </w:p>
          <w:p>
            <w:pPr>
              <w:pStyle w:val="Normal"/>
              <w:spacing w:before="0" w:after="0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Pronesis SRL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Consulenza Informatica</w:t>
              <w:br/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 xml:space="preserve">Importo di attivazione servizio pari a 1220, non specificato importo annuo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Contratto del 2017</w:t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Isi. Sviluppo fatture elettroniche, pagoPa,.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Fatturazione Elettronica</w:t>
              <w:br/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Senza importi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>Aruba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>Posta certificata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>Senza importi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Contratto di attivazione del 2010</w:t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 xml:space="preserve">Visura tinexta gruop pagopa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 xml:space="preserve">Tinexta gruop pagopa 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 xml:space="preserve">Licenza euro 500+360, canone annuo 400+220, importi a consumo 1,30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 xml:space="preserve">Scadenza </w:t>
            </w: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highlight w:val="yellow"/>
                <w:lang w:eastAsia="it-IT"/>
              </w:rPr>
              <w:t>31.12.2023</w:t>
            </w:r>
          </w:p>
        </w:tc>
      </w:tr>
      <w:tr>
        <w:trPr/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>Actainfo transizione digitale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>Transizione digitale</w:t>
            </w:r>
          </w:p>
        </w:tc>
        <w:tc>
          <w:tcPr>
            <w:tcW w:w="15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9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/>
              <w:t xml:space="preserve">Importo di 840 euro biennale, 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Segoe UI" w:ascii="Segoe UI" w:hAnsi="Segoe UI"/>
                <w:color w:val="000000"/>
                <w:sz w:val="20"/>
                <w:szCs w:val="20"/>
                <w:lang w:eastAsia="it-IT"/>
              </w:rPr>
              <w:t>Dal 01.01.2023 al 31.12.2024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f3f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LibreOffice/6.4.7.2$Windows_X86_64 LibreOffice_project/639b8ac485750d5696d7590a72ef1b496725cfb5</Application>
  <Pages>1</Pages>
  <Words>113</Words>
  <Characters>773</Characters>
  <CharactersWithSpaces>875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2022-07-04T06:56:00Z</dcterms:created>
  <dc:creator>Emanuele Gnani</dc:creator>
  <dc:description/>
  <dc:language>it-IT</dc:language>
  <cp:lastModifiedBy/>
  <dcterms:modified xsi:type="dcterms:W3CDTF">2024-06-03T15:50:05Z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